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528DE" w:rsidRPr="002C0383" w:rsidTr="00586DA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8528DE" w:rsidRPr="002C0383" w:rsidRDefault="008528DE" w:rsidP="00586DA2">
            <w:pPr>
              <w:spacing w:before="60" w:after="60" w:line="240" w:lineRule="auto"/>
              <w:ind w:left="397" w:hanging="397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Krizni menadžment </w:t>
            </w:r>
          </w:p>
        </w:tc>
      </w:tr>
      <w:tr w:rsidR="008528DE" w:rsidRPr="002C0383" w:rsidTr="00586DA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Style w:val="Strong"/>
                <w:rFonts w:ascii="Candara" w:hAnsi="Candara" w:cs="Arial"/>
                <w:b w:val="0"/>
                <w:sz w:val="20"/>
                <w:szCs w:val="20"/>
              </w:rPr>
            </w:pPr>
            <w:r w:rsidRPr="002C0383">
              <w:rPr>
                <w:rStyle w:val="Strong"/>
                <w:rFonts w:ascii="Candara" w:hAnsi="Candara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EUB315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Style w:val="Strong"/>
                <w:rFonts w:ascii="Candara" w:hAnsi="Candara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Prof. dr. sc. Dejan Kružić</w:t>
            </w:r>
          </w:p>
          <w:p w:rsidR="00963A4C" w:rsidRPr="002C0383" w:rsidRDefault="00963A4C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Izv.prof. dr. sc. Ivana Bilić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3C77D8" w:rsidRDefault="003C77D8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3C77D8">
              <w:rPr>
                <w:rFonts w:ascii="Candara" w:hAnsi="Candara" w:cs="Arial"/>
                <w:color w:val="FF0000"/>
                <w:sz w:val="20"/>
                <w:szCs w:val="20"/>
              </w:rPr>
              <w:t>5</w:t>
            </w:r>
          </w:p>
        </w:tc>
      </w:tr>
      <w:tr w:rsidR="008528DE" w:rsidRPr="002C0383" w:rsidTr="00586DA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T</w:t>
            </w:r>
          </w:p>
        </w:tc>
      </w:tr>
      <w:tr w:rsidR="008528DE" w:rsidRPr="002C0383" w:rsidTr="00586DA2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FA6EA8" w:rsidRDefault="00B40559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FA6EA8">
              <w:rPr>
                <w:rFonts w:ascii="Candara" w:hAnsi="Candara" w:cs="Arial"/>
                <w:color w:val="FF0000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B40559" w:rsidRDefault="00FA6EA8" w:rsidP="00586DA2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>
              <w:rPr>
                <w:rFonts w:ascii="Candara" w:hAnsi="Candara" w:cs="Arial"/>
                <w:color w:val="FF0000"/>
                <w:sz w:val="20"/>
                <w:szCs w:val="20"/>
              </w:rPr>
              <w:t>3</w:t>
            </w:r>
            <w:r w:rsidR="00006C7E" w:rsidRPr="00B40559">
              <w:rPr>
                <w:rFonts w:ascii="Candara" w:hAnsi="Candara" w:cs="Arial"/>
                <w:color w:val="FF0000"/>
                <w:sz w:val="20"/>
                <w:szCs w:val="20"/>
              </w:rPr>
              <w:t>0%</w:t>
            </w:r>
          </w:p>
        </w:tc>
      </w:tr>
      <w:tr w:rsidR="008528DE" w:rsidRPr="002C0383" w:rsidTr="00586DA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>OPIS PREDMETA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Upoznati studente s teorijskim konceptima i praktičnim alatima kriznog menadžmenta. 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</w:p>
          <w:p w:rsidR="00EE2D80" w:rsidRPr="002C0383" w:rsidRDefault="00EE2D80" w:rsidP="00EE2D80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Ishod učenja predmeta: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      Predvidjeti krizu i upravljati krizom u korporaciji (razina 7 prema HKO).</w:t>
            </w:r>
          </w:p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8528DE" w:rsidRPr="002C0383" w:rsidRDefault="008528DE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Pojedinačni ishodi učenja:</w:t>
            </w:r>
          </w:p>
          <w:p w:rsidR="008528DE" w:rsidRPr="002C0383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Identificirati i valorizirati različite aspekte kriznog nastanka (razina 7 prema HKO).</w:t>
            </w:r>
          </w:p>
          <w:p w:rsidR="008528DE" w:rsidRPr="002C0383" w:rsidRDefault="008528DE" w:rsidP="008528DE">
            <w:pPr>
              <w:numPr>
                <w:ilvl w:val="0"/>
                <w:numId w:val="5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Kritički preispitati i utvrditi primjerenost odabranih kriznih strategija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3.    Voditi formiranje kriznog menadžment tima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4.    Utvrditi mogućnosti i „cijenu“ kriznog oporavka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5.    Kreirati antikrizne scenarije i  odabrati  alate antikrizne  borbe (razina 7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       prema HKO). 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6.    Dizajnirati, vrednovati  i implementirati krizni plan (razina 7 prema HKO).</w:t>
            </w:r>
          </w:p>
          <w:p w:rsidR="008528DE" w:rsidRPr="002C0383" w:rsidRDefault="008528DE" w:rsidP="00586DA2">
            <w:pPr>
              <w:spacing w:after="0" w:line="240" w:lineRule="auto"/>
              <w:ind w:left="36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9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21"/>
              <w:gridCol w:w="2742"/>
              <w:gridCol w:w="360"/>
              <w:gridCol w:w="2957"/>
              <w:gridCol w:w="425"/>
            </w:tblGrid>
            <w:tr w:rsidR="008528DE" w:rsidRPr="002C0383" w:rsidTr="00586DA2">
              <w:trPr>
                <w:trHeight w:val="215"/>
              </w:trPr>
              <w:tc>
                <w:tcPr>
                  <w:tcW w:w="42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textDirection w:val="btLr"/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113" w:right="113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10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8528DE" w:rsidRPr="002C0383" w:rsidTr="00586DA2">
              <w:trPr>
                <w:cantSplit/>
                <w:trHeight w:val="307"/>
              </w:trPr>
              <w:tc>
                <w:tcPr>
                  <w:tcW w:w="421" w:type="dxa"/>
                  <w:vMerge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-108" w:right="-108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ind w:left="-108" w:right="-69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Krize i krizni menadžment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Krizno ponašanje i krizno vođenje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Krizni menadžment u korporacijama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EE2D80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Analiza slučaja</w:t>
                  </w: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  <w:r w:rsidR="008528DE" w:rsidRPr="002C0383">
                    <w:rPr>
                      <w:rFonts w:ascii="Candara" w:hAnsi="Candara" w:cs="Arial"/>
                      <w:sz w:val="20"/>
                      <w:szCs w:val="20"/>
                    </w:rPr>
                    <w:t>Krizno komuniciranje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Poslovna kriza-simptomi i nastanak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Performanse poduzeća u teškoćama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Financijski omjeri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Najčešći uzroci poslovnog neuspjeha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Altmanov model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Financijski omjeri i EWS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Nelikvidnost i insolventnost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Strategije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Ostali signali ranog upozorenja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Ključni faktori uspješnosti preokreta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EE2D80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sz w:val="20"/>
                      <w:szCs w:val="20"/>
                    </w:rPr>
                    <w:t>Analiza slučaja:</w:t>
                  </w: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 xml:space="preserve"> </w:t>
                  </w:r>
                  <w:r w:rsidR="008528DE" w:rsidRPr="002C0383">
                    <w:rPr>
                      <w:rFonts w:ascii="Candara" w:hAnsi="Candara" w:cs="Arial"/>
                      <w:sz w:val="20"/>
                      <w:szCs w:val="20"/>
                    </w:rPr>
                    <w:t>Analiza mogućnosti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Radikalan zaokret u krizi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Tipologija faza preokreta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Predstečajna nagodba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Plan financ. i operativnog restrukturiranja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Strategija stečaja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Postupovne odredbe i pravne posljedice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Menadžment u stečajnom postupku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Tijela stečajnog postupka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13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Stečajna masa i stečajni vjerovnici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Unovčenje stečajne mase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Namirenje stečajnih vjerovnika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Namirenje stečajnih vjerovnika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528DE" w:rsidRPr="002C0383" w:rsidTr="00586DA2">
              <w:trPr>
                <w:cantSplit/>
              </w:trPr>
              <w:tc>
                <w:tcPr>
                  <w:tcW w:w="421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742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Stečajni plan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957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Analiza slučaja: Hrvatska korporacija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  <w:hideMark/>
                </w:tcPr>
                <w:p w:rsidR="008528DE" w:rsidRPr="002C0383" w:rsidRDefault="008528DE" w:rsidP="00586DA2">
                  <w:pPr>
                    <w:spacing w:after="0" w:line="240" w:lineRule="auto"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2C0383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8528DE" w:rsidRPr="002C0383" w:rsidRDefault="008528DE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528DE" w:rsidRPr="002C0383" w:rsidTr="00586DA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X predavanja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seminari i radionice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eastAsia="MS Gothic" w:hAnsi="MS Gothic" w:cs="MS Gothic"/>
                <w:sz w:val="20"/>
                <w:szCs w:val="20"/>
              </w:rPr>
              <w:t>☐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X samostalni  zadaci 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X mentorski rad</w:t>
            </w:r>
          </w:p>
          <w:p w:rsidR="008528DE" w:rsidRPr="002C0383" w:rsidRDefault="00EE2D80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eastAsia="MS Gothic" w:hAnsi="Candara" w:cs="MS Gothic"/>
                <w:color w:val="FF0000"/>
                <w:sz w:val="20"/>
                <w:szCs w:val="20"/>
              </w:rPr>
              <w:t>X</w:t>
            </w:r>
            <w:r w:rsidR="008528DE" w:rsidRPr="002C0383">
              <w:rPr>
                <w:rFonts w:ascii="Candara" w:hAnsi="Candara" w:cs="Arial"/>
                <w:color w:val="FF0000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gostujuće predavanje</w:t>
            </w:r>
            <w:r w:rsidR="00FC6584"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="00FC6584" w:rsidRPr="002C0383">
              <w:rPr>
                <w:rFonts w:ascii="Candara" w:hAnsi="Candara" w:cs="Arial"/>
                <w:sz w:val="20"/>
                <w:szCs w:val="20"/>
              </w:rPr>
            </w:r>
            <w:r w:rsidR="00FC6584"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sz w:val="20"/>
                <w:szCs w:val="20"/>
              </w:rPr>
              <w:t> </w:t>
            </w:r>
            <w:r w:rsidR="00FC6584"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  <w:r w:rsidR="008528DE"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="008528DE" w:rsidRPr="002C0383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528DE" w:rsidRPr="002C0383" w:rsidTr="00586DA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2C0383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Obveza studenata za stjecanje prava na potpis je redovito pohađanje nastave (minimalno 60% ukupne nastave). Uz prisustvovanje na nastavi, potrebno je i aktivno sudjelovanje kroz analizu studija slučaja te individualno i/ili grupno izlaganje rezultata analize.</w:t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Praćenje rada studenata 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EE2D80" w:rsidP="00586DA2">
            <w:pPr>
              <w:pStyle w:val="FieldText"/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jc w:val="center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8528DE" w:rsidRPr="002C038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528DE" w:rsidRPr="002C0383" w:rsidTr="00586DA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8528D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528DE" w:rsidRPr="002C0383" w:rsidRDefault="00CF6771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>
              <w:rPr>
                <w:rFonts w:ascii="Candara" w:hAnsi="Candara" w:cs="Arial"/>
                <w:sz w:val="20"/>
                <w:szCs w:val="20"/>
              </w:rPr>
              <w:t>1</w:t>
            </w:r>
            <w:r w:rsidR="002C0383" w:rsidRPr="002C0383">
              <w:rPr>
                <w:rFonts w:ascii="Candara" w:hAnsi="Candara" w:cs="Arial"/>
                <w:color w:val="FF0000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  <w:highlight w:val="yellow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528DE" w:rsidRPr="002C0383" w:rsidRDefault="00FC6584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2C0383">
              <w:rPr>
                <w:rFonts w:ascii="Candara" w:hAnsi="Candara" w:cs="Arial"/>
                <w:sz w:val="20"/>
                <w:szCs w:val="20"/>
              </w:rPr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8528DE" w:rsidRPr="002C0383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2C0383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 xml:space="preserve">Uvjet za dobivanje potpisa, što je ujedno i uvjet za izlazak na ispit je 60% prisustvovanje nastavi. 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Provjera znanja će se provoditi u terminima predavanja i vježbi, i to preko dva kolokvija te putem zadataka (studije slučaja).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Putem kolokvija će se provjeravati znanje potrebno za rješavanje zadataka i teorijsko znanje.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Studenti koji polože oba kolokvija, oslobođeni su ispita i dobivaju ocjenu iz ovog predmeta.</w:t>
            </w:r>
          </w:p>
          <w:p w:rsidR="002C0383" w:rsidRPr="002C0383" w:rsidRDefault="002C0383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Zadaci se odnose na analizu nekog praktičnog primjera (studije slučaja).</w:t>
            </w:r>
          </w:p>
          <w:p w:rsidR="002C0383" w:rsidRPr="002C0383" w:rsidRDefault="002C0383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8528DE" w:rsidRPr="002C0383" w:rsidRDefault="00EE2D80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Praktični rad (studija slučaja)</w:t>
            </w:r>
            <w:r w:rsidR="008528DE" w:rsidRPr="002C0383">
              <w:rPr>
                <w:rFonts w:ascii="Candara" w:hAnsi="Candara" w:cs="Arial"/>
                <w:sz w:val="20"/>
                <w:szCs w:val="20"/>
              </w:rPr>
              <w:t xml:space="preserve"> se odnosi na analizu nekog praktičnog primjera (studije slučaja).  Studenti koji uspješno naprave analizu neke studije slučaja dobivaju veću ocjenu. </w:t>
            </w:r>
          </w:p>
          <w:p w:rsidR="001535F1" w:rsidRDefault="001535F1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2C0383" w:rsidRPr="002C0383" w:rsidRDefault="00D67C7B" w:rsidP="002C0383">
            <w:pPr>
              <w:spacing w:after="0" w:line="240" w:lineRule="auto"/>
              <w:rPr>
                <w:rFonts w:ascii="Candara" w:hAnsi="Candara" w:cs="Arial"/>
                <w:color w:val="FF0000"/>
                <w:sz w:val="20"/>
                <w:szCs w:val="20"/>
              </w:rPr>
            </w:pPr>
            <w:r>
              <w:rPr>
                <w:rFonts w:ascii="Candara" w:hAnsi="Candara" w:cs="Arial"/>
                <w:color w:val="FF0000"/>
                <w:sz w:val="20"/>
                <w:szCs w:val="20"/>
              </w:rPr>
              <w:t>1</w:t>
            </w:r>
            <w:bookmarkStart w:id="0" w:name="_GoBack"/>
            <w:bookmarkEnd w:id="0"/>
            <w:r w:rsidR="002C0383" w:rsidRPr="002C0383">
              <w:rPr>
                <w:rFonts w:ascii="Candara" w:hAnsi="Candara" w:cs="Arial"/>
                <w:color w:val="FF0000"/>
                <w:sz w:val="20"/>
                <w:szCs w:val="20"/>
              </w:rPr>
              <w:t>* Studenti koji ne polože predmet putem kolokvija će polagati isti putem pismenog i usmenog ispita.</w:t>
            </w:r>
          </w:p>
          <w:p w:rsidR="002C0383" w:rsidRPr="002C0383" w:rsidRDefault="002C0383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:rsidR="001535F1" w:rsidRPr="002C0383" w:rsidRDefault="001535F1" w:rsidP="001535F1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1180"/>
              <w:gridCol w:w="798"/>
              <w:gridCol w:w="1204"/>
              <w:gridCol w:w="798"/>
            </w:tblGrid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GB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>Bodovi test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Ocjena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GB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GB"/>
                    </w:rPr>
                    <w:t>Bodovi ispit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Ocjena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0 – 23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1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0 – 47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1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24 - 27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48 - 57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28 - 32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58 - 65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33 – 35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66 – 73 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4</w:t>
                  </w:r>
                </w:p>
              </w:tc>
            </w:tr>
            <w:tr w:rsidR="001535F1" w:rsidRPr="002C0383" w:rsidTr="007A35C5">
              <w:tc>
                <w:tcPr>
                  <w:tcW w:w="1180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36 - 40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</w:t>
                  </w:r>
                </w:p>
              </w:tc>
              <w:tc>
                <w:tcPr>
                  <w:tcW w:w="1204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74 </w:t>
                  </w:r>
                  <w:r w:rsidR="002317D5">
                    <w:rPr>
                      <w:rFonts w:ascii="Candara" w:hAnsi="Candara" w:cs="Arial"/>
                      <w:color w:val="FF0000"/>
                      <w:lang w:val="en-US"/>
                    </w:rPr>
                    <w:t>–</w:t>
                  </w: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 xml:space="preserve"> </w:t>
                  </w:r>
                  <w:r w:rsidR="002317D5">
                    <w:rPr>
                      <w:rFonts w:ascii="Candara" w:hAnsi="Candara" w:cs="Arial"/>
                      <w:color w:val="FF0000"/>
                      <w:lang w:val="en-US"/>
                    </w:rPr>
                    <w:t>I više</w:t>
                  </w:r>
                </w:p>
              </w:tc>
              <w:tc>
                <w:tcPr>
                  <w:tcW w:w="798" w:type="dxa"/>
                </w:tcPr>
                <w:p w:rsidR="001535F1" w:rsidRPr="002C0383" w:rsidRDefault="001535F1" w:rsidP="007A35C5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color w:val="FF0000"/>
                      <w:lang w:val="en-US"/>
                    </w:rPr>
                  </w:pPr>
                  <w:r w:rsidRPr="002C0383">
                    <w:rPr>
                      <w:rFonts w:ascii="Candara" w:hAnsi="Candara" w:cs="Arial"/>
                      <w:color w:val="FF0000"/>
                      <w:lang w:val="en-US"/>
                    </w:rPr>
                    <w:t>5</w:t>
                  </w:r>
                </w:p>
              </w:tc>
            </w:tr>
          </w:tbl>
          <w:p w:rsidR="001535F1" w:rsidRPr="002C0383" w:rsidRDefault="001535F1" w:rsidP="00586DA2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1535F1" w:rsidRPr="002C0383" w:rsidTr="00586DA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Obvezna literatura (dostupna u knjižnici </w:t>
            </w:r>
            <w:r w:rsidRPr="002C0383">
              <w:rPr>
                <w:rFonts w:ascii="Candara" w:hAnsi="Candara" w:cs="Arial"/>
                <w:sz w:val="20"/>
                <w:szCs w:val="20"/>
              </w:rPr>
              <w:lastRenderedPageBreak/>
              <w:t>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t xml:space="preserve">Broj primjeraka u </w:t>
            </w: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 xml:space="preserve">Dostupnost putem ostalih </w:t>
            </w:r>
            <w:r w:rsidRPr="002C0383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medija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1.Čuveljak, Jelena: 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>Stečajni zakon i Zakon o financijskom poslovanju i predstečajnoj nagodbi, Komentar i sudska praksa</w:t>
            </w:r>
            <w:r w:rsidRPr="002C0383">
              <w:rPr>
                <w:rFonts w:ascii="Candara" w:hAnsi="Candara" w:cs="Arial"/>
                <w:sz w:val="20"/>
                <w:szCs w:val="20"/>
              </w:rPr>
              <w:t>, Zgombić&amp;Partneri, Zagreb, 2013.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5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ne</w:t>
            </w:r>
          </w:p>
        </w:tc>
      </w:tr>
      <w:tr w:rsidR="001535F1" w:rsidRPr="002C0383" w:rsidTr="00586DA2">
        <w:trPr>
          <w:trHeight w:val="511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2.</w:t>
            </w:r>
            <w:r w:rsidRPr="002C0383">
              <w:rPr>
                <w:rFonts w:ascii="Candara" w:hAnsi="Candara" w:cs="Arial"/>
                <w:bCs/>
                <w:sz w:val="20"/>
                <w:szCs w:val="20"/>
              </w:rPr>
              <w:t xml:space="preserve">Osmanagić-Bedenik, N.: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</w:rPr>
              <w:t>Kriza kao šansa - Kroz poslovnu krizu do poslovnog uspjeha</w:t>
            </w:r>
            <w:r w:rsidRPr="002C0383">
              <w:rPr>
                <w:rFonts w:ascii="Candara" w:hAnsi="Candara" w:cs="Arial"/>
                <w:bCs/>
                <w:sz w:val="20"/>
                <w:szCs w:val="20"/>
              </w:rPr>
              <w:t>, Školska knjiga, Zagreb, 2003.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ne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3.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Tipuri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Kru</w:t>
            </w:r>
            <w:r w:rsidRPr="002C0383">
              <w:rPr>
                <w:rFonts w:ascii="Candara" w:hAnsi="Candara" w:cs="Arial"/>
                <w:sz w:val="20"/>
                <w:szCs w:val="20"/>
              </w:rPr>
              <w:t>ž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i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Lovrin</w:t>
            </w:r>
            <w:r w:rsidRPr="002C0383">
              <w:rPr>
                <w:rFonts w:ascii="Candara" w:hAnsi="Candara" w:cs="Arial"/>
                <w:sz w:val="20"/>
                <w:szCs w:val="20"/>
              </w:rPr>
              <w:t>č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evi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M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Strategije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kriznim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uvjetima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: </w:t>
            </w:r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Strate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>š</w:t>
            </w:r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ki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menad</w:t>
            </w:r>
            <w:r w:rsidRPr="002C0383">
              <w:rPr>
                <w:rFonts w:ascii="Candara" w:hAnsi="Candara" w:cs="Arial"/>
                <w:i/>
                <w:sz w:val="20"/>
                <w:szCs w:val="20"/>
              </w:rPr>
              <w:t>ž</w:t>
            </w:r>
            <w:r w:rsidRPr="002C0383">
              <w:rPr>
                <w:rFonts w:ascii="Candara" w:hAnsi="Candara" w:cs="Arial"/>
                <w:i/>
                <w:sz w:val="20"/>
                <w:szCs w:val="20"/>
                <w:lang w:val="en-US"/>
              </w:rPr>
              <w:t>ment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Tipuri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>. (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ur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.),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Sinergija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nakladni</w:t>
            </w:r>
            <w:r w:rsidRPr="002C0383">
              <w:rPr>
                <w:rFonts w:ascii="Candara" w:hAnsi="Candara" w:cs="Arial"/>
                <w:sz w:val="20"/>
                <w:szCs w:val="20"/>
              </w:rPr>
              <w:t>š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tvo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d</w:t>
            </w:r>
            <w:r w:rsidRPr="002C0383">
              <w:rPr>
                <w:rFonts w:ascii="Candara" w:hAnsi="Candara" w:cs="Arial"/>
                <w:sz w:val="20"/>
                <w:szCs w:val="20"/>
              </w:rPr>
              <w:t>.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o</w:t>
            </w:r>
            <w:r w:rsidRPr="002C0383">
              <w:rPr>
                <w:rFonts w:ascii="Candara" w:hAnsi="Candara" w:cs="Arial"/>
                <w:sz w:val="20"/>
                <w:szCs w:val="20"/>
              </w:rPr>
              <w:t>.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o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.,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Zagreb</w:t>
            </w:r>
            <w:r w:rsidRPr="002C0383">
              <w:rPr>
                <w:rFonts w:ascii="Candara" w:hAnsi="Candara" w:cs="Arial"/>
                <w:sz w:val="20"/>
                <w:szCs w:val="20"/>
              </w:rPr>
              <w:t xml:space="preserve">, 2013, </w:t>
            </w:r>
            <w:r w:rsidRPr="002C0383">
              <w:rPr>
                <w:rFonts w:ascii="Candara" w:hAnsi="Candara" w:cs="Arial"/>
                <w:sz w:val="20"/>
                <w:szCs w:val="20"/>
                <w:lang w:val="en-US"/>
              </w:rPr>
              <w:t>str</w:t>
            </w:r>
            <w:r w:rsidRPr="002C0383">
              <w:rPr>
                <w:rFonts w:ascii="Candara" w:hAnsi="Candara" w:cs="Arial"/>
                <w:sz w:val="20"/>
                <w:szCs w:val="20"/>
              </w:rPr>
              <w:t>. 1-37.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Web stranica predmeta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8528DE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4.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val="pl-PL"/>
              </w:rPr>
              <w:t>Stečajni zakon</w:t>
            </w:r>
            <w:r w:rsidRPr="002C0383">
              <w:rPr>
                <w:rFonts w:ascii="Candara" w:hAnsi="Candara" w:cs="Arial"/>
                <w:b/>
                <w:bCs/>
                <w:sz w:val="20"/>
                <w:szCs w:val="20"/>
                <w:lang w:val="pl-PL"/>
              </w:rPr>
              <w:t xml:space="preserve">, </w:t>
            </w:r>
            <w:r w:rsidRPr="002C0383">
              <w:rPr>
                <w:rFonts w:ascii="Candara" w:hAnsi="Candara" w:cs="Arial"/>
                <w:sz w:val="20"/>
                <w:szCs w:val="20"/>
                <w:lang w:val="pl-PL"/>
              </w:rPr>
              <w:t>Narodne novine br. 44/96, 161/98, 29/99, 129/00, 123/03, 197/03, 187/04, 82/06, 116/10, 125/12 i 133/12.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DA/INTERNET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spacing w:after="0" w:line="240" w:lineRule="auto"/>
              <w:jc w:val="both"/>
              <w:rPr>
                <w:rFonts w:ascii="Candara" w:hAnsi="Candara" w:cs="Arial"/>
                <w:bCs/>
                <w:sz w:val="20"/>
                <w:szCs w:val="20"/>
                <w:lang w:eastAsia="hr-HR"/>
              </w:rPr>
            </w:pPr>
            <w:r w:rsidRPr="002C0383">
              <w:rPr>
                <w:rFonts w:ascii="Candara" w:hAnsi="Candara" w:cs="Arial"/>
                <w:bCs/>
                <w:sz w:val="20"/>
                <w:szCs w:val="20"/>
                <w:lang w:eastAsia="hr-HR"/>
              </w:rPr>
              <w:t xml:space="preserve">5. </w:t>
            </w:r>
            <w:r w:rsidRPr="002C0383">
              <w:rPr>
                <w:rFonts w:ascii="Candara" w:hAnsi="Candara" w:cs="Arial"/>
                <w:bCs/>
                <w:i/>
                <w:sz w:val="20"/>
                <w:szCs w:val="20"/>
                <w:lang w:eastAsia="hr-HR"/>
              </w:rPr>
              <w:t>Zakon o financijskom poslovanju i predstečajnoj nagodbi,</w:t>
            </w:r>
            <w:r w:rsidRPr="002C0383">
              <w:rPr>
                <w:rFonts w:ascii="Candara" w:hAnsi="Candara" w:cs="Arial"/>
                <w:bCs/>
                <w:sz w:val="20"/>
                <w:szCs w:val="20"/>
                <w:lang w:eastAsia="hr-HR"/>
              </w:rPr>
              <w:t xml:space="preserve"> NN 108/12,144/12, 81/13,112/13.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586DA2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DA/INTERNET</w:t>
            </w:r>
          </w:p>
        </w:tc>
      </w:tr>
      <w:tr w:rsidR="001535F1" w:rsidRPr="002C0383" w:rsidTr="00586DA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535F1" w:rsidRPr="002C0383" w:rsidRDefault="001535F1" w:rsidP="00586DA2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>4. Crisis Management Institute – free resources https://www.cmionline.com/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r w:rsidRPr="002C0383">
              <w:rPr>
                <w:rFonts w:ascii="Candara" w:hAnsi="Candara"/>
                <w:color w:val="FF0000"/>
                <w:sz w:val="20"/>
                <w:szCs w:val="20"/>
                <w:lang w:val="en-US"/>
              </w:rPr>
              <w:t xml:space="preserve">Neograničen pristup 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/>
                <w:color w:val="FF0000"/>
                <w:sz w:val="20"/>
                <w:szCs w:val="20"/>
                <w:lang w:val="en-US"/>
              </w:rPr>
            </w:pPr>
            <w:r w:rsidRPr="002C0383">
              <w:rPr>
                <w:rFonts w:ascii="Candara" w:hAnsi="Candara" w:cs="Arial"/>
                <w:color w:val="FF0000"/>
                <w:sz w:val="20"/>
                <w:szCs w:val="20"/>
              </w:rPr>
              <w:t>DA/INTERNET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 xml:space="preserve">Dopunska literatura </w:t>
            </w:r>
          </w:p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535F1" w:rsidRPr="002C0383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 xml:space="preserve">Bilić, I., Pivčević, S. and Čevra, A. (2017): </w:t>
            </w:r>
            <w:r w:rsidRPr="002C0383">
              <w:rPr>
                <w:rFonts w:ascii="Candara" w:eastAsiaTheme="minorHAnsi" w:hAnsi="Candara"/>
                <w:b w:val="0"/>
                <w:bCs w:val="0"/>
                <w:color w:val="FF0000"/>
                <w:sz w:val="20"/>
                <w:szCs w:val="20"/>
                <w:lang w:eastAsia="en-US"/>
              </w:rPr>
              <w:t xml:space="preserve">Crisis Management in Hotel Business – Insights from Croatia, </w:t>
            </w:r>
            <w:r w:rsidRPr="002C0383">
              <w:rPr>
                <w:rFonts w:ascii="Candara" w:hAnsi="Candara"/>
                <w:b w:val="0"/>
                <w:color w:val="FF0000"/>
                <w:kern w:val="36"/>
                <w:sz w:val="20"/>
                <w:szCs w:val="20"/>
              </w:rPr>
              <w:t>Communication Management Review</w:t>
            </w:r>
            <w:r w:rsidRPr="002C0383">
              <w:rPr>
                <w:rFonts w:ascii="Candara" w:hAnsi="Candara"/>
                <w:b w:val="0"/>
                <w:bCs w:val="0"/>
                <w:color w:val="FF0000"/>
                <w:kern w:val="36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Vol. 2 No. 2, p. 100-118.</w:t>
            </w:r>
          </w:p>
          <w:p w:rsidR="001535F1" w:rsidRPr="002C0383" w:rsidRDefault="001535F1" w:rsidP="001535F1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>Marjan Gusev, M.; Ristov, S.; Prodan, R.; Dzanko, M. and Bilic, I. (2017): Resilient IoT eHealth solutions in case of disasters, Conference 2017 9th International Workshop on Resilient Networks Design and Modeling (RNDM), p. 1-7.</w:t>
            </w:r>
          </w:p>
          <w:p w:rsidR="001535F1" w:rsidRPr="002C0383" w:rsidRDefault="001535F1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Style w:val="Emphasis"/>
                <w:rFonts w:ascii="Candara" w:hAnsi="Candara"/>
                <w:b w:val="0"/>
                <w:i w:val="0"/>
                <w:iCs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Bilić, I. &amp; Vrkić, F. (2017): </w:t>
            </w:r>
            <w:r w:rsidRPr="002C0383">
              <w:rPr>
                <w:rStyle w:val="Strong"/>
                <w:rFonts w:ascii="Candara" w:hAnsi="Candara"/>
                <w:color w:val="FF0000"/>
                <w:sz w:val="20"/>
                <w:szCs w:val="20"/>
              </w:rPr>
              <w:t>Crisis communication and crisis management during the crisis, case study of Croatia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, </w:t>
            </w:r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Tools and Techniques for Economic Decision Analysis,</w:t>
            </w:r>
            <w:r w:rsidRPr="002C0383">
              <w:rPr>
                <w:rStyle w:val="Strong"/>
                <w:rFonts w:ascii="Candara" w:hAnsi="Candara"/>
                <w:b/>
                <w:iCs/>
                <w:color w:val="FF0000"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/>
                <w:b w:val="0"/>
                <w:color w:val="FF0000"/>
                <w:sz w:val="20"/>
                <w:szCs w:val="20"/>
              </w:rPr>
              <w:t xml:space="preserve">(Eds.) Stanković, J. et al. IGI Global, </w:t>
            </w:r>
            <w:r w:rsidRPr="002C0383">
              <w:rPr>
                <w:rStyle w:val="Emphasis"/>
                <w:rFonts w:ascii="Candara" w:hAnsi="Candara"/>
                <w:b w:val="0"/>
                <w:i w:val="0"/>
                <w:color w:val="FF0000"/>
                <w:sz w:val="20"/>
                <w:szCs w:val="20"/>
              </w:rPr>
              <w:t>pp. 208-224.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Fink, Steven: Crisis Management: Planning for the Inevitable, iUniverse, 2002.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>Mitroff, I. Ian: Crisis Leadership: Planning for the Unthinkable, John Wiley &amp; Sons, 2004.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Platt, D. Harlan: Principles of Corporate Renewal, University of Michigan Press, 1998. </w:t>
            </w:r>
          </w:p>
          <w:p w:rsidR="001535F1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en-US"/>
              </w:rPr>
              <w:t xml:space="preserve">Slatter, Stuart, Lovet, David, Barlow Laura: Leading Corporate Turnaround: How Leaders Fix Troubled Companies, John Wiley &amp; Sons Ltd., 2006. </w:t>
            </w:r>
          </w:p>
          <w:p w:rsidR="008528DE" w:rsidRPr="002C0383" w:rsidRDefault="008528DE" w:rsidP="00586DA2">
            <w:pPr>
              <w:pStyle w:val="Heading2"/>
              <w:numPr>
                <w:ilvl w:val="0"/>
                <w:numId w:val="7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Candara" w:hAnsi="Candara"/>
                <w:b w:val="0"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Su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>č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evi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ć,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Danko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: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Krizni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</w:rPr>
              <w:t xml:space="preserve"> 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menad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</w:rPr>
              <w:t>ž</w:t>
            </w:r>
            <w:r w:rsidRPr="002C0383">
              <w:rPr>
                <w:rFonts w:ascii="Candara" w:hAnsi="Candara" w:cs="Arial"/>
                <w:b w:val="0"/>
                <w:i/>
                <w:sz w:val="20"/>
                <w:szCs w:val="20"/>
                <w:lang w:val="pl-PL"/>
              </w:rPr>
              <w:t>ment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Lider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  <w:lang w:val="pl-PL"/>
              </w:rPr>
              <w:t>Zagreb</w:t>
            </w:r>
            <w:r w:rsidRPr="002C0383">
              <w:rPr>
                <w:rFonts w:ascii="Candara" w:hAnsi="Candara" w:cs="Arial"/>
                <w:b w:val="0"/>
                <w:sz w:val="20"/>
                <w:szCs w:val="20"/>
              </w:rPr>
              <w:t>, 2010.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Praćenje pohađanja nastave i izvršenja ostalih obveza studenata (nastavnik)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Nadzor izvođenja nastave (prodekan za nastavu)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Analiza uspješnosti studiranja po svim predmetima studija (prodekan za nastavu)</w:t>
            </w:r>
          </w:p>
          <w:p w:rsidR="00EE2D80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8528DE" w:rsidRPr="002C0383" w:rsidRDefault="00EE2D80" w:rsidP="00EE2D80">
            <w:pPr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Candara" w:hAnsi="Candara" w:cs="Arial"/>
                <w:b/>
                <w:bCs/>
                <w:i/>
                <w:iCs/>
                <w:sz w:val="20"/>
                <w:szCs w:val="20"/>
              </w:rPr>
            </w:pPr>
            <w:r w:rsidRPr="002C0383">
              <w:rPr>
                <w:rFonts w:ascii="Candara" w:hAnsi="Candara" w:cs="Arial"/>
                <w:bCs/>
                <w:iCs/>
                <w:color w:val="FF0000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528DE" w:rsidRPr="002C0383" w:rsidTr="00586DA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8528DE" w:rsidRPr="002C0383" w:rsidRDefault="008528DE" w:rsidP="00586DA2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2C0383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528DE" w:rsidRPr="005E0980" w:rsidRDefault="005E0980" w:rsidP="00586DA2">
            <w:pPr>
              <w:tabs>
                <w:tab w:val="left" w:pos="2820"/>
              </w:tabs>
              <w:spacing w:after="0"/>
              <w:rPr>
                <w:rFonts w:ascii="Candara" w:hAnsi="Candara" w:cs="Arial"/>
                <w:color w:val="FF0000"/>
                <w:sz w:val="20"/>
                <w:szCs w:val="20"/>
              </w:rPr>
            </w:pPr>
            <w:r w:rsidRPr="005E0980">
              <w:rPr>
                <w:rFonts w:ascii="Candara" w:hAnsi="Candara" w:cs="Arial"/>
                <w:color w:val="FF0000"/>
                <w:sz w:val="20"/>
                <w:szCs w:val="20"/>
              </w:rPr>
              <w:t>Ukoliko je moguće vježbe bi trebalo planirati u informatičkim dvoranama.</w:t>
            </w:r>
          </w:p>
        </w:tc>
      </w:tr>
    </w:tbl>
    <w:p w:rsidR="00413919" w:rsidRPr="002C0383" w:rsidRDefault="00413919">
      <w:pPr>
        <w:rPr>
          <w:rFonts w:ascii="Candara" w:hAnsi="Candara"/>
          <w:sz w:val="20"/>
          <w:szCs w:val="20"/>
        </w:rPr>
      </w:pPr>
    </w:p>
    <w:sectPr w:rsidR="00413919" w:rsidRPr="002C0383" w:rsidSect="004139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DCB" w:rsidRDefault="000E2DCB" w:rsidP="008528DE">
      <w:pPr>
        <w:spacing w:after="0" w:line="240" w:lineRule="auto"/>
      </w:pPr>
      <w:r>
        <w:separator/>
      </w:r>
    </w:p>
  </w:endnote>
  <w:endnote w:type="continuationSeparator" w:id="0">
    <w:p w:rsidR="000E2DCB" w:rsidRDefault="000E2DCB" w:rsidP="00852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DCB" w:rsidRDefault="000E2DCB" w:rsidP="008528DE">
      <w:pPr>
        <w:spacing w:after="0" w:line="240" w:lineRule="auto"/>
      </w:pPr>
      <w:r>
        <w:separator/>
      </w:r>
    </w:p>
  </w:footnote>
  <w:footnote w:type="continuationSeparator" w:id="0">
    <w:p w:rsidR="000E2DCB" w:rsidRDefault="000E2DCB" w:rsidP="008528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01F58"/>
    <w:multiLevelType w:val="hybridMultilevel"/>
    <w:tmpl w:val="FAE6010A"/>
    <w:lvl w:ilvl="0" w:tplc="562C59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4B4D09FB"/>
    <w:multiLevelType w:val="hybridMultilevel"/>
    <w:tmpl w:val="0A0242E2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15E17DB"/>
    <w:multiLevelType w:val="hybridMultilevel"/>
    <w:tmpl w:val="A192E5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C768DC"/>
    <w:multiLevelType w:val="hybridMultilevel"/>
    <w:tmpl w:val="A69E9C44"/>
    <w:lvl w:ilvl="0" w:tplc="8E6C3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>
    <w:nsid w:val="71547328"/>
    <w:multiLevelType w:val="hybridMultilevel"/>
    <w:tmpl w:val="D1820906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28DE"/>
    <w:rsid w:val="00006C7E"/>
    <w:rsid w:val="000E2DCB"/>
    <w:rsid w:val="001535F1"/>
    <w:rsid w:val="002317D5"/>
    <w:rsid w:val="00256FEB"/>
    <w:rsid w:val="00277147"/>
    <w:rsid w:val="002A62DB"/>
    <w:rsid w:val="002C0383"/>
    <w:rsid w:val="00353964"/>
    <w:rsid w:val="003C77D8"/>
    <w:rsid w:val="003E1BF1"/>
    <w:rsid w:val="00413919"/>
    <w:rsid w:val="005129CF"/>
    <w:rsid w:val="005B49CA"/>
    <w:rsid w:val="005C69F9"/>
    <w:rsid w:val="005E0980"/>
    <w:rsid w:val="00616D1E"/>
    <w:rsid w:val="007F27DB"/>
    <w:rsid w:val="008528DE"/>
    <w:rsid w:val="009626FB"/>
    <w:rsid w:val="00963A4C"/>
    <w:rsid w:val="00A522F9"/>
    <w:rsid w:val="00A974F1"/>
    <w:rsid w:val="00B03906"/>
    <w:rsid w:val="00B40559"/>
    <w:rsid w:val="00CF6771"/>
    <w:rsid w:val="00D67C7B"/>
    <w:rsid w:val="00DB6D95"/>
    <w:rsid w:val="00E155A6"/>
    <w:rsid w:val="00E45C72"/>
    <w:rsid w:val="00EE2D80"/>
    <w:rsid w:val="00F24C7C"/>
    <w:rsid w:val="00FA6EA8"/>
    <w:rsid w:val="00FC6584"/>
    <w:rsid w:val="00FE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DE"/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1535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8528D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8528DE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528D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8528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528DE"/>
    <w:rPr>
      <w:rFonts w:ascii="Calibri" w:eastAsia="Calibri" w:hAnsi="Calibri" w:cs="Times New Roman"/>
    </w:rPr>
  </w:style>
  <w:style w:type="table" w:styleId="TableGrid">
    <w:name w:val="Table Grid"/>
    <w:basedOn w:val="TableNormal"/>
    <w:rsid w:val="001535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1535F1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Emphasis">
    <w:name w:val="Emphasis"/>
    <w:basedOn w:val="DefaultParagraphFont"/>
    <w:uiPriority w:val="20"/>
    <w:qFormat/>
    <w:rsid w:val="001535F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1108</Words>
  <Characters>6319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2018-07-03T12:23:00Z</dcterms:created>
  <dcterms:modified xsi:type="dcterms:W3CDTF">2018-07-03T12:23:00Z</dcterms:modified>
</cp:coreProperties>
</file>